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4FFA" w14:textId="77777777" w:rsidR="002F0B78" w:rsidRPr="00D0192E" w:rsidRDefault="002F0B78" w:rsidP="002F0B78">
      <w:pPr>
        <w:rPr>
          <w:rFonts w:ascii="Lato" w:hAnsi="Lato"/>
          <w:color w:val="62514E"/>
          <w:sz w:val="28"/>
          <w:szCs w:val="32"/>
        </w:rPr>
      </w:pPr>
      <w:r w:rsidRPr="00D0192E">
        <w:rPr>
          <w:noProof/>
          <w:color w:val="62514E"/>
        </w:rPr>
        <w:drawing>
          <wp:anchor distT="0" distB="0" distL="114300" distR="114300" simplePos="0" relativeHeight="251660288" behindDoc="0" locked="0" layoutInCell="1" allowOverlap="1" wp14:anchorId="27370C34" wp14:editId="05DBED54">
            <wp:simplePos x="914400" y="914400"/>
            <wp:positionH relativeFrom="margin">
              <wp:align>right</wp:align>
            </wp:positionH>
            <wp:positionV relativeFrom="margin">
              <wp:align>top</wp:align>
            </wp:positionV>
            <wp:extent cx="1845310" cy="1366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4" cstate="print">
                      <a:extLst>
                        <a:ext uri="{28A0092B-C50C-407E-A947-70E740481C1C}">
                          <a14:useLocalDpi xmlns:a14="http://schemas.microsoft.com/office/drawing/2010/main" val="0"/>
                        </a:ext>
                      </a:extLst>
                    </a:blip>
                    <a:srcRect l="67804"/>
                    <a:stretch/>
                  </pic:blipFill>
                  <pic:spPr bwMode="auto">
                    <a:xfrm>
                      <a:off x="0" y="0"/>
                      <a:ext cx="1845310" cy="1366520"/>
                    </a:xfrm>
                    <a:prstGeom prst="rect">
                      <a:avLst/>
                    </a:prstGeom>
                    <a:ln>
                      <a:noFill/>
                    </a:ln>
                    <a:extLst>
                      <a:ext uri="{53640926-AAD7-44D8-BBD7-CCE9431645EC}">
                        <a14:shadowObscured xmlns:a14="http://schemas.microsoft.com/office/drawing/2010/main"/>
                      </a:ext>
                    </a:extLst>
                  </pic:spPr>
                </pic:pic>
              </a:graphicData>
            </a:graphic>
          </wp:anchor>
        </w:drawing>
      </w:r>
      <w:r w:rsidRPr="00D0192E">
        <w:rPr>
          <w:rFonts w:ascii="Lato" w:hAnsi="Lato"/>
          <w:color w:val="62514E"/>
          <w:sz w:val="28"/>
          <w:szCs w:val="32"/>
        </w:rPr>
        <w:t>GIPP: Gender, Inclusion, Power and Politics Analysis Toolkit</w:t>
      </w:r>
    </w:p>
    <w:p w14:paraId="634EE3AC" w14:textId="069492DD" w:rsidR="009A3044" w:rsidRPr="002F0B78" w:rsidRDefault="009A3044" w:rsidP="00C37C96">
      <w:pPr>
        <w:rPr>
          <w:color w:val="62514E"/>
        </w:rPr>
      </w:pPr>
      <w:r w:rsidRPr="002F0B78">
        <w:rPr>
          <w:noProof/>
          <w:color w:val="62514E"/>
        </w:rPr>
        <w:drawing>
          <wp:anchor distT="0" distB="0" distL="114300" distR="114300" simplePos="0" relativeHeight="251658240" behindDoc="0" locked="0" layoutInCell="1" allowOverlap="1" wp14:anchorId="0CD2CC67" wp14:editId="57CD8B34">
            <wp:simplePos x="914400" y="914400"/>
            <wp:positionH relativeFrom="margin">
              <wp:align>right</wp:align>
            </wp:positionH>
            <wp:positionV relativeFrom="margin">
              <wp:align>top</wp:align>
            </wp:positionV>
            <wp:extent cx="1969135" cy="1366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65644"/>
                    <a:stretch/>
                  </pic:blipFill>
                  <pic:spPr bwMode="auto">
                    <a:xfrm>
                      <a:off x="0" y="0"/>
                      <a:ext cx="1969135" cy="1366520"/>
                    </a:xfrm>
                    <a:prstGeom prst="rect">
                      <a:avLst/>
                    </a:prstGeom>
                    <a:ln>
                      <a:noFill/>
                    </a:ln>
                    <a:extLst>
                      <a:ext uri="{53640926-AAD7-44D8-BBD7-CCE9431645EC}">
                        <a14:shadowObscured xmlns:a14="http://schemas.microsoft.com/office/drawing/2010/main"/>
                      </a:ext>
                    </a:extLst>
                  </pic:spPr>
                </pic:pic>
              </a:graphicData>
            </a:graphic>
          </wp:anchor>
        </w:drawing>
      </w:r>
    </w:p>
    <w:p w14:paraId="66179914" w14:textId="648138D0" w:rsidR="00C37C96" w:rsidRPr="002F0B78" w:rsidRDefault="00C37C96" w:rsidP="00C37C96">
      <w:pPr>
        <w:rPr>
          <w:rFonts w:ascii="Lato" w:hAnsi="Lato"/>
          <w:color w:val="62514E"/>
          <w:sz w:val="32"/>
          <w:szCs w:val="40"/>
        </w:rPr>
      </w:pPr>
      <w:r w:rsidRPr="002F0B78">
        <w:rPr>
          <w:rFonts w:ascii="Lato" w:hAnsi="Lato"/>
          <w:color w:val="62514E"/>
          <w:sz w:val="32"/>
          <w:szCs w:val="40"/>
        </w:rPr>
        <w:t>Skeleton workshop agenda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242"/>
      </w:tblGrid>
      <w:tr w:rsidR="002F0B78" w:rsidRPr="002F0B78" w14:paraId="087031DC" w14:textId="77777777" w:rsidTr="00884CC2">
        <w:trPr>
          <w:jc w:val="center"/>
        </w:trPr>
        <w:tc>
          <w:tcPr>
            <w:tcW w:w="9356" w:type="dxa"/>
            <w:gridSpan w:val="2"/>
            <w:shd w:val="clear" w:color="auto" w:fill="C5E0B3"/>
          </w:tcPr>
          <w:p w14:paraId="32588196" w14:textId="77777777" w:rsidR="00C37C96" w:rsidRPr="002F0B78" w:rsidRDefault="00C37C96" w:rsidP="00884CC2">
            <w:pPr>
              <w:spacing w:after="40" w:line="240" w:lineRule="auto"/>
              <w:jc w:val="center"/>
              <w:rPr>
                <w:rFonts w:ascii="Lato" w:hAnsi="Lato" w:cs="Arial"/>
                <w:b/>
                <w:bCs/>
                <w:color w:val="62514E"/>
              </w:rPr>
            </w:pPr>
            <w:r w:rsidRPr="002F0B78">
              <w:rPr>
                <w:rFonts w:ascii="Lato" w:hAnsi="Lato" w:cs="Arial"/>
                <w:b/>
                <w:bCs/>
                <w:color w:val="62514E"/>
              </w:rPr>
              <w:t>Skeleton Workshop Agenda</w:t>
            </w:r>
          </w:p>
        </w:tc>
      </w:tr>
      <w:tr w:rsidR="002F0B78" w:rsidRPr="002F0B78" w14:paraId="45AEEED9" w14:textId="77777777" w:rsidTr="00884CC2">
        <w:trPr>
          <w:jc w:val="center"/>
        </w:trPr>
        <w:tc>
          <w:tcPr>
            <w:tcW w:w="9356" w:type="dxa"/>
            <w:gridSpan w:val="2"/>
            <w:shd w:val="clear" w:color="auto" w:fill="E2EFD9"/>
          </w:tcPr>
          <w:p w14:paraId="53357AA5" w14:textId="77777777" w:rsidR="00C37C96" w:rsidRPr="002F0B78" w:rsidRDefault="00C37C96" w:rsidP="00884CC2">
            <w:pPr>
              <w:spacing w:after="40" w:line="240" w:lineRule="auto"/>
              <w:jc w:val="center"/>
              <w:rPr>
                <w:rFonts w:ascii="Lato" w:hAnsi="Lato" w:cs="Arial"/>
                <w:b/>
                <w:bCs/>
                <w:color w:val="62514E"/>
              </w:rPr>
            </w:pPr>
            <w:r w:rsidRPr="002F0B78">
              <w:rPr>
                <w:rFonts w:ascii="Lato" w:hAnsi="Lato" w:cs="Arial"/>
                <w:b/>
                <w:bCs/>
                <w:color w:val="62514E"/>
              </w:rPr>
              <w:t>Day 1</w:t>
            </w:r>
          </w:p>
        </w:tc>
      </w:tr>
      <w:tr w:rsidR="002F0B78" w:rsidRPr="002F0B78" w14:paraId="2905E10B" w14:textId="77777777" w:rsidTr="00884CC2">
        <w:trPr>
          <w:trHeight w:val="298"/>
          <w:jc w:val="center"/>
        </w:trPr>
        <w:tc>
          <w:tcPr>
            <w:tcW w:w="3114" w:type="dxa"/>
          </w:tcPr>
          <w:p w14:paraId="630DCBAE" w14:textId="77777777" w:rsidR="00C37C96" w:rsidRPr="002F0B78" w:rsidRDefault="00C37C96" w:rsidP="009A3044">
            <w:pPr>
              <w:spacing w:after="40" w:line="240" w:lineRule="auto"/>
              <w:rPr>
                <w:rFonts w:ascii="Lato" w:hAnsi="Lato" w:cs="Arial"/>
                <w:b/>
                <w:bCs/>
                <w:color w:val="62514E"/>
              </w:rPr>
            </w:pPr>
            <w:r w:rsidRPr="002F0B78">
              <w:rPr>
                <w:rFonts w:ascii="Lato" w:hAnsi="Lato" w:cs="Arial"/>
                <w:b/>
                <w:bCs/>
                <w:color w:val="62514E"/>
              </w:rPr>
              <w:t>Welcome, logistics</w:t>
            </w:r>
          </w:p>
        </w:tc>
        <w:tc>
          <w:tcPr>
            <w:tcW w:w="6242" w:type="dxa"/>
            <w:shd w:val="clear" w:color="auto" w:fill="auto"/>
          </w:tcPr>
          <w:p w14:paraId="04AC5BC4"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Rapid introduction to programme; sharing of logistical information</w:t>
            </w:r>
          </w:p>
          <w:p w14:paraId="234BABAD" w14:textId="1C264EDE" w:rsidR="002F0B78" w:rsidRPr="002F0B78" w:rsidRDefault="002F0B78" w:rsidP="00884CC2">
            <w:pPr>
              <w:spacing w:after="40" w:line="240" w:lineRule="auto"/>
              <w:jc w:val="both"/>
              <w:rPr>
                <w:rFonts w:ascii="Lato" w:hAnsi="Lato" w:cs="Arial"/>
                <w:color w:val="62514E"/>
              </w:rPr>
            </w:pPr>
          </w:p>
        </w:tc>
      </w:tr>
      <w:tr w:rsidR="002F0B78" w:rsidRPr="002F0B78" w14:paraId="7160647C" w14:textId="77777777" w:rsidTr="00884CC2">
        <w:trPr>
          <w:trHeight w:val="542"/>
          <w:jc w:val="center"/>
        </w:trPr>
        <w:tc>
          <w:tcPr>
            <w:tcW w:w="3114" w:type="dxa"/>
          </w:tcPr>
          <w:p w14:paraId="61972AA0" w14:textId="77777777" w:rsidR="00C37C96" w:rsidRPr="002F0B78" w:rsidRDefault="00C37C96" w:rsidP="009A3044">
            <w:pPr>
              <w:spacing w:after="40" w:line="240" w:lineRule="auto"/>
              <w:rPr>
                <w:rFonts w:ascii="Lato" w:hAnsi="Lato" w:cs="Arial"/>
                <w:b/>
                <w:bCs/>
                <w:color w:val="62514E"/>
              </w:rPr>
            </w:pPr>
            <w:r w:rsidRPr="002F0B78">
              <w:rPr>
                <w:rFonts w:ascii="Lato" w:hAnsi="Lato" w:cs="Arial"/>
                <w:b/>
                <w:bCs/>
                <w:color w:val="62514E"/>
              </w:rPr>
              <w:t>Introductions, workshop objectives, agenda, ground rules</w:t>
            </w:r>
          </w:p>
        </w:tc>
        <w:tc>
          <w:tcPr>
            <w:tcW w:w="6242" w:type="dxa"/>
            <w:shd w:val="clear" w:color="auto" w:fill="auto"/>
          </w:tcPr>
          <w:p w14:paraId="7F4B2ED6" w14:textId="77777777" w:rsidR="00C37C96" w:rsidRPr="002F0B78" w:rsidRDefault="00C37C96" w:rsidP="00884CC2">
            <w:pPr>
              <w:spacing w:after="40" w:line="240" w:lineRule="auto"/>
              <w:jc w:val="both"/>
              <w:rPr>
                <w:rFonts w:ascii="Lato" w:hAnsi="Lato" w:cs="Arial"/>
                <w:color w:val="62514E"/>
              </w:rPr>
            </w:pPr>
            <w:r w:rsidRPr="002F0B78">
              <w:rPr>
                <w:rFonts w:ascii="Lato" w:hAnsi="Lato" w:cs="Arial"/>
                <w:color w:val="62514E"/>
              </w:rPr>
              <w:t xml:space="preserve">Introductions by facilitators, GIPP Taskforce and other participants. </w:t>
            </w:r>
          </w:p>
          <w:p w14:paraId="0250CB78" w14:textId="77777777" w:rsidR="00C37C96" w:rsidRPr="002F0B78" w:rsidRDefault="00C37C96" w:rsidP="00884CC2">
            <w:pPr>
              <w:spacing w:after="40" w:line="240" w:lineRule="auto"/>
              <w:jc w:val="both"/>
              <w:rPr>
                <w:rFonts w:ascii="Lato" w:hAnsi="Lato" w:cs="Arial"/>
                <w:color w:val="62514E"/>
              </w:rPr>
            </w:pPr>
            <w:r w:rsidRPr="002F0B78">
              <w:rPr>
                <w:rFonts w:ascii="Lato" w:hAnsi="Lato" w:cs="Arial"/>
                <w:color w:val="62514E"/>
              </w:rPr>
              <w:t>Sharing of objectives and agenda for workshop</w:t>
            </w:r>
          </w:p>
          <w:p w14:paraId="06BACC1A"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Setting of workshop ground rules, including establishing a safe space.</w:t>
            </w:r>
          </w:p>
          <w:p w14:paraId="709A7AA8" w14:textId="63491BC2" w:rsidR="002F0B78" w:rsidRPr="002F0B78" w:rsidRDefault="002F0B78" w:rsidP="00884CC2">
            <w:pPr>
              <w:spacing w:after="40" w:line="240" w:lineRule="auto"/>
              <w:jc w:val="both"/>
              <w:rPr>
                <w:rFonts w:ascii="Lato" w:hAnsi="Lato" w:cs="Arial"/>
                <w:color w:val="62514E"/>
                <w:lang w:eastAsia="en-GB"/>
              </w:rPr>
            </w:pPr>
          </w:p>
        </w:tc>
      </w:tr>
      <w:tr w:rsidR="002F0B78" w:rsidRPr="002F0B78" w14:paraId="32390595" w14:textId="77777777" w:rsidTr="00884CC2">
        <w:trPr>
          <w:jc w:val="center"/>
        </w:trPr>
        <w:tc>
          <w:tcPr>
            <w:tcW w:w="3114" w:type="dxa"/>
          </w:tcPr>
          <w:p w14:paraId="19FBD7B8" w14:textId="77777777" w:rsidR="00C37C96" w:rsidRPr="002F0B78" w:rsidRDefault="00C37C96" w:rsidP="009A3044">
            <w:pPr>
              <w:spacing w:after="40" w:line="240" w:lineRule="auto"/>
              <w:rPr>
                <w:rFonts w:ascii="Lato" w:hAnsi="Lato" w:cs="Arial"/>
                <w:b/>
                <w:bCs/>
                <w:color w:val="62514E"/>
              </w:rPr>
            </w:pPr>
            <w:r w:rsidRPr="002F0B78">
              <w:rPr>
                <w:rFonts w:ascii="Lato" w:hAnsi="Lato" w:cs="Arial"/>
                <w:b/>
                <w:bCs/>
                <w:color w:val="62514E"/>
              </w:rPr>
              <w:t>Programme overview</w:t>
            </w:r>
          </w:p>
        </w:tc>
        <w:tc>
          <w:tcPr>
            <w:tcW w:w="6242" w:type="dxa"/>
            <w:shd w:val="clear" w:color="auto" w:fill="auto"/>
          </w:tcPr>
          <w:p w14:paraId="4EC813FB" w14:textId="6931140D" w:rsidR="00C37C96" w:rsidRDefault="00C37C96" w:rsidP="00884CC2">
            <w:pPr>
              <w:spacing w:after="40" w:line="240" w:lineRule="auto"/>
              <w:jc w:val="both"/>
              <w:rPr>
                <w:rFonts w:ascii="Lato" w:eastAsia="Calibri" w:hAnsi="Lato" w:cs="Arial"/>
                <w:color w:val="62514E"/>
              </w:rPr>
            </w:pPr>
            <w:r w:rsidRPr="002F0B78">
              <w:rPr>
                <w:rFonts w:ascii="Lato" w:eastAsia="Calibri" w:hAnsi="Lato" w:cs="Arial"/>
                <w:color w:val="62514E"/>
              </w:rPr>
              <w:t>Overview of programme, including global and country-level</w:t>
            </w:r>
          </w:p>
          <w:p w14:paraId="1ADB17C2" w14:textId="77777777" w:rsidR="002F0B78" w:rsidRDefault="002F0B78" w:rsidP="00884CC2">
            <w:pPr>
              <w:spacing w:after="40" w:line="240" w:lineRule="auto"/>
              <w:jc w:val="both"/>
              <w:rPr>
                <w:rFonts w:ascii="Lato" w:eastAsia="Calibri" w:hAnsi="Lato" w:cs="Arial"/>
                <w:color w:val="62514E"/>
              </w:rPr>
            </w:pPr>
          </w:p>
          <w:p w14:paraId="6D8F6C42" w14:textId="4734C721" w:rsidR="002F0B78" w:rsidRPr="002F0B78" w:rsidRDefault="002F0B78" w:rsidP="00884CC2">
            <w:pPr>
              <w:spacing w:after="40" w:line="240" w:lineRule="auto"/>
              <w:jc w:val="both"/>
              <w:rPr>
                <w:rFonts w:ascii="Lato" w:eastAsia="Calibri" w:hAnsi="Lato" w:cs="Arial"/>
                <w:color w:val="62514E"/>
              </w:rPr>
            </w:pPr>
          </w:p>
        </w:tc>
      </w:tr>
      <w:tr w:rsidR="002F0B78" w:rsidRPr="002F0B78" w14:paraId="0D859485" w14:textId="77777777" w:rsidTr="00884CC2">
        <w:trPr>
          <w:jc w:val="center"/>
        </w:trPr>
        <w:tc>
          <w:tcPr>
            <w:tcW w:w="3114" w:type="dxa"/>
          </w:tcPr>
          <w:p w14:paraId="5097E44B" w14:textId="77777777" w:rsidR="00C37C96" w:rsidRPr="002F0B78" w:rsidRDefault="00C37C96" w:rsidP="009A3044">
            <w:pPr>
              <w:spacing w:after="40" w:line="240" w:lineRule="auto"/>
              <w:rPr>
                <w:rFonts w:ascii="Lato" w:hAnsi="Lato" w:cs="Arial"/>
                <w:b/>
                <w:bCs/>
                <w:color w:val="62514E"/>
              </w:rPr>
            </w:pPr>
            <w:r w:rsidRPr="002F0B78">
              <w:rPr>
                <w:rFonts w:ascii="Lato" w:hAnsi="Lato" w:cs="Arial"/>
                <w:b/>
                <w:bCs/>
                <w:color w:val="62514E"/>
              </w:rPr>
              <w:t>Introduction to the GIPP Process</w:t>
            </w:r>
          </w:p>
        </w:tc>
        <w:tc>
          <w:tcPr>
            <w:tcW w:w="6242" w:type="dxa"/>
            <w:shd w:val="clear" w:color="auto" w:fill="auto"/>
          </w:tcPr>
          <w:p w14:paraId="3781457C"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Introduction to GIPP process, including core concepts as appropriate, and how it relates to the programme overall</w:t>
            </w:r>
          </w:p>
          <w:p w14:paraId="6E1DEFCE" w14:textId="6CB35999" w:rsidR="002F0B78" w:rsidRPr="002F0B78" w:rsidRDefault="002F0B78" w:rsidP="00884CC2">
            <w:pPr>
              <w:spacing w:after="40" w:line="240" w:lineRule="auto"/>
              <w:jc w:val="both"/>
              <w:rPr>
                <w:rFonts w:ascii="Lato" w:hAnsi="Lato" w:cs="Arial"/>
                <w:color w:val="62514E"/>
                <w:lang w:eastAsia="en-GB"/>
              </w:rPr>
            </w:pPr>
          </w:p>
        </w:tc>
      </w:tr>
      <w:tr w:rsidR="002F0B78" w:rsidRPr="002F0B78" w14:paraId="1DF27FCC" w14:textId="77777777" w:rsidTr="00884CC2">
        <w:trPr>
          <w:trHeight w:val="281"/>
          <w:jc w:val="center"/>
        </w:trPr>
        <w:tc>
          <w:tcPr>
            <w:tcW w:w="3114" w:type="dxa"/>
            <w:shd w:val="clear" w:color="auto" w:fill="auto"/>
          </w:tcPr>
          <w:p w14:paraId="589F6E55" w14:textId="77777777" w:rsidR="00C37C96" w:rsidRPr="002F0B78" w:rsidRDefault="00C37C96" w:rsidP="009A3044">
            <w:pPr>
              <w:spacing w:after="40" w:line="240" w:lineRule="auto"/>
              <w:rPr>
                <w:rFonts w:ascii="Lato" w:hAnsi="Lato" w:cs="Arial"/>
                <w:b/>
                <w:bCs/>
                <w:color w:val="62514E"/>
              </w:rPr>
            </w:pPr>
            <w:r w:rsidRPr="002F0B78">
              <w:rPr>
                <w:rFonts w:ascii="Lato" w:hAnsi="Lato" w:cs="Arial"/>
                <w:b/>
                <w:bCs/>
                <w:color w:val="62514E"/>
              </w:rPr>
              <w:t>Problem Analysis</w:t>
            </w:r>
          </w:p>
        </w:tc>
        <w:tc>
          <w:tcPr>
            <w:tcW w:w="6242" w:type="dxa"/>
            <w:shd w:val="clear" w:color="auto" w:fill="auto"/>
          </w:tcPr>
          <w:p w14:paraId="1B8125A1"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See ‘Problem Analysis’ Exercise tool</w:t>
            </w:r>
          </w:p>
          <w:p w14:paraId="77589FAC" w14:textId="7553661C" w:rsidR="002F0B78" w:rsidRPr="002F0B78" w:rsidRDefault="002F0B78" w:rsidP="00884CC2">
            <w:pPr>
              <w:spacing w:after="40" w:line="240" w:lineRule="auto"/>
              <w:jc w:val="both"/>
              <w:rPr>
                <w:rFonts w:ascii="Lato" w:hAnsi="Lato" w:cs="Arial"/>
                <w:color w:val="62514E"/>
              </w:rPr>
            </w:pPr>
          </w:p>
        </w:tc>
      </w:tr>
      <w:tr w:rsidR="002F0B78" w:rsidRPr="002F0B78" w14:paraId="5E787B50" w14:textId="77777777" w:rsidTr="00884CC2">
        <w:trPr>
          <w:jc w:val="center"/>
        </w:trPr>
        <w:tc>
          <w:tcPr>
            <w:tcW w:w="3114" w:type="dxa"/>
          </w:tcPr>
          <w:p w14:paraId="7B1D87C1" w14:textId="77777777" w:rsidR="00C37C96" w:rsidRPr="002F0B78" w:rsidRDefault="00C37C96" w:rsidP="009A3044">
            <w:pPr>
              <w:spacing w:after="40" w:line="240" w:lineRule="auto"/>
              <w:rPr>
                <w:rFonts w:ascii="Lato" w:hAnsi="Lato" w:cs="Arial"/>
                <w:b/>
                <w:bCs/>
                <w:color w:val="62514E"/>
              </w:rPr>
            </w:pPr>
            <w:r w:rsidRPr="002F0B78">
              <w:rPr>
                <w:rFonts w:ascii="Lato" w:hAnsi="Lato" w:cs="Arial"/>
                <w:b/>
                <w:bCs/>
                <w:color w:val="62514E"/>
              </w:rPr>
              <w:t>Stakeholder mapping</w:t>
            </w:r>
          </w:p>
        </w:tc>
        <w:tc>
          <w:tcPr>
            <w:tcW w:w="6242" w:type="dxa"/>
            <w:shd w:val="clear" w:color="auto" w:fill="auto"/>
          </w:tcPr>
          <w:p w14:paraId="7A4B0D05"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Rapid exercise to map out stakeholders associated with the problem (building on problem analysis exercise).</w:t>
            </w:r>
          </w:p>
          <w:p w14:paraId="36EDDE5E" w14:textId="448D42DE" w:rsidR="002F0B78" w:rsidRPr="002F0B78" w:rsidRDefault="002F0B78" w:rsidP="00884CC2">
            <w:pPr>
              <w:spacing w:after="40" w:line="240" w:lineRule="auto"/>
              <w:jc w:val="both"/>
              <w:rPr>
                <w:rFonts w:ascii="Lato" w:hAnsi="Lato" w:cs="Arial"/>
                <w:color w:val="62514E"/>
              </w:rPr>
            </w:pPr>
          </w:p>
        </w:tc>
      </w:tr>
      <w:tr w:rsidR="002F0B78" w:rsidRPr="002F0B78" w14:paraId="0815D872" w14:textId="77777777" w:rsidTr="00884CC2">
        <w:trPr>
          <w:jc w:val="center"/>
        </w:trPr>
        <w:tc>
          <w:tcPr>
            <w:tcW w:w="9356" w:type="dxa"/>
            <w:gridSpan w:val="2"/>
            <w:shd w:val="clear" w:color="auto" w:fill="E2EFD9" w:themeFill="accent6" w:themeFillTint="33"/>
          </w:tcPr>
          <w:p w14:paraId="4F1F8A9F" w14:textId="77777777" w:rsidR="00C37C96" w:rsidRPr="002F0B78" w:rsidRDefault="00C37C96" w:rsidP="00884CC2">
            <w:pPr>
              <w:spacing w:after="40" w:line="240" w:lineRule="auto"/>
              <w:jc w:val="center"/>
              <w:rPr>
                <w:rFonts w:ascii="Lato" w:hAnsi="Lato" w:cs="Arial"/>
                <w:b/>
                <w:bCs/>
                <w:color w:val="62514E"/>
              </w:rPr>
            </w:pPr>
            <w:r w:rsidRPr="002F0B78">
              <w:rPr>
                <w:rFonts w:ascii="Lato" w:hAnsi="Lato" w:cs="Arial"/>
                <w:b/>
                <w:bCs/>
                <w:color w:val="62514E"/>
              </w:rPr>
              <w:t>Day 2</w:t>
            </w:r>
          </w:p>
        </w:tc>
      </w:tr>
      <w:tr w:rsidR="002F0B78" w:rsidRPr="002F0B78" w14:paraId="3F0D06F7" w14:textId="77777777" w:rsidTr="00884CC2">
        <w:trPr>
          <w:jc w:val="center"/>
        </w:trPr>
        <w:tc>
          <w:tcPr>
            <w:tcW w:w="3114" w:type="dxa"/>
          </w:tcPr>
          <w:p w14:paraId="491D495B" w14:textId="77777777" w:rsidR="00C37C96" w:rsidRPr="002F0B78" w:rsidRDefault="00C37C96" w:rsidP="00884CC2">
            <w:pPr>
              <w:spacing w:after="40" w:line="240" w:lineRule="auto"/>
              <w:jc w:val="both"/>
              <w:rPr>
                <w:rFonts w:ascii="Lato" w:hAnsi="Lato" w:cs="Arial"/>
                <w:b/>
                <w:bCs/>
                <w:color w:val="62514E"/>
              </w:rPr>
            </w:pPr>
            <w:r w:rsidRPr="002F0B78">
              <w:rPr>
                <w:rFonts w:ascii="Lato" w:eastAsia="Calibri" w:hAnsi="Lato" w:cs="Arial"/>
                <w:b/>
                <w:bCs/>
                <w:color w:val="62514E"/>
              </w:rPr>
              <w:t>Reflection on Day 1</w:t>
            </w:r>
          </w:p>
        </w:tc>
        <w:tc>
          <w:tcPr>
            <w:tcW w:w="6242" w:type="dxa"/>
            <w:shd w:val="clear" w:color="auto" w:fill="auto"/>
          </w:tcPr>
          <w:p w14:paraId="03940DE4" w14:textId="77777777" w:rsidR="00C37C96" w:rsidRPr="002F0B78" w:rsidRDefault="00C37C96" w:rsidP="00884CC2">
            <w:pPr>
              <w:spacing w:after="40" w:line="240" w:lineRule="auto"/>
              <w:jc w:val="both"/>
              <w:rPr>
                <w:rFonts w:ascii="Lato" w:hAnsi="Lato" w:cs="Arial"/>
                <w:color w:val="62514E"/>
              </w:rPr>
            </w:pPr>
            <w:r w:rsidRPr="002F0B78">
              <w:rPr>
                <w:rFonts w:ascii="Lato" w:hAnsi="Lato" w:cs="Arial"/>
                <w:color w:val="62514E"/>
              </w:rPr>
              <w:t>Review Day 2 agenda</w:t>
            </w:r>
          </w:p>
          <w:p w14:paraId="1A0CC6D3"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Reflect on learning from Day 1</w:t>
            </w:r>
          </w:p>
          <w:p w14:paraId="61E59188" w14:textId="2C3F78DF" w:rsidR="002F0B78" w:rsidRPr="002F0B78" w:rsidRDefault="002F0B78" w:rsidP="00884CC2">
            <w:pPr>
              <w:spacing w:after="40" w:line="240" w:lineRule="auto"/>
              <w:jc w:val="both"/>
              <w:rPr>
                <w:rFonts w:ascii="Lato" w:hAnsi="Lato" w:cs="Arial"/>
                <w:color w:val="62514E"/>
              </w:rPr>
            </w:pPr>
          </w:p>
        </w:tc>
      </w:tr>
      <w:tr w:rsidR="002F0B78" w:rsidRPr="002F0B78" w14:paraId="4F04700A" w14:textId="77777777" w:rsidTr="00884CC2">
        <w:trPr>
          <w:jc w:val="center"/>
        </w:trPr>
        <w:tc>
          <w:tcPr>
            <w:tcW w:w="3114" w:type="dxa"/>
          </w:tcPr>
          <w:p w14:paraId="71D11588" w14:textId="77777777" w:rsidR="00C37C96" w:rsidRPr="002F0B78" w:rsidRDefault="00C37C96" w:rsidP="009A3044">
            <w:pPr>
              <w:spacing w:after="40" w:line="240" w:lineRule="auto"/>
              <w:rPr>
                <w:rFonts w:ascii="Lato" w:hAnsi="Lato" w:cs="Arial"/>
                <w:b/>
                <w:bCs/>
                <w:color w:val="62514E"/>
              </w:rPr>
            </w:pPr>
            <w:r w:rsidRPr="002F0B78">
              <w:rPr>
                <w:rFonts w:ascii="Lato" w:eastAsia="Calibri" w:hAnsi="Lato" w:cs="Arial"/>
                <w:b/>
                <w:bCs/>
                <w:color w:val="62514E"/>
              </w:rPr>
              <w:t>Power and Stakeholder Analysis</w:t>
            </w:r>
          </w:p>
        </w:tc>
        <w:tc>
          <w:tcPr>
            <w:tcW w:w="6242" w:type="dxa"/>
            <w:shd w:val="clear" w:color="auto" w:fill="auto"/>
          </w:tcPr>
          <w:p w14:paraId="2CC34A2F"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See ‘power analysis’ exercise (building on stakeholder mapping) participants use ‘idea cards’ in their groups to brainstorm and list all key stakeholders associated with the problem (one group or actor per card). These will then be sorted and posted on the wall in preparation for Day 2.</w:t>
            </w:r>
          </w:p>
          <w:p w14:paraId="7D340082" w14:textId="77344EE3" w:rsidR="002F0B78" w:rsidRPr="002F0B78" w:rsidRDefault="002F0B78" w:rsidP="00884CC2">
            <w:pPr>
              <w:spacing w:after="40" w:line="240" w:lineRule="auto"/>
              <w:jc w:val="both"/>
              <w:rPr>
                <w:rFonts w:ascii="Lato" w:hAnsi="Lato" w:cs="Arial"/>
                <w:color w:val="62514E"/>
              </w:rPr>
            </w:pPr>
          </w:p>
        </w:tc>
      </w:tr>
      <w:tr w:rsidR="002F0B78" w:rsidRPr="002F0B78" w14:paraId="3E525FF8" w14:textId="77777777" w:rsidTr="00884CC2">
        <w:trPr>
          <w:trHeight w:val="70"/>
          <w:jc w:val="center"/>
        </w:trPr>
        <w:tc>
          <w:tcPr>
            <w:tcW w:w="3114" w:type="dxa"/>
          </w:tcPr>
          <w:p w14:paraId="784B105D" w14:textId="77777777" w:rsidR="00C37C96" w:rsidRPr="002F0B78" w:rsidRDefault="00C37C96" w:rsidP="009A3044">
            <w:pPr>
              <w:spacing w:after="40" w:line="240" w:lineRule="auto"/>
              <w:rPr>
                <w:rFonts w:ascii="Lato" w:hAnsi="Lato" w:cs="Arial"/>
                <w:b/>
                <w:bCs/>
                <w:color w:val="62514E"/>
              </w:rPr>
            </w:pPr>
            <w:r w:rsidRPr="002F0B78">
              <w:rPr>
                <w:rFonts w:ascii="Lato" w:eastAsia="Calibri" w:hAnsi="Lato" w:cs="Arial"/>
                <w:b/>
                <w:bCs/>
                <w:color w:val="62514E"/>
              </w:rPr>
              <w:t>Exclusion analysis and feedback</w:t>
            </w:r>
          </w:p>
        </w:tc>
        <w:tc>
          <w:tcPr>
            <w:tcW w:w="6242" w:type="dxa"/>
            <w:shd w:val="clear" w:color="auto" w:fill="auto"/>
          </w:tcPr>
          <w:p w14:paraId="292BDB41"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See ‘exclusion analysis’ exercise</w:t>
            </w:r>
          </w:p>
          <w:p w14:paraId="62F8430C" w14:textId="77777777" w:rsidR="002F0B78" w:rsidRDefault="002F0B78" w:rsidP="00884CC2">
            <w:pPr>
              <w:spacing w:after="40" w:line="240" w:lineRule="auto"/>
              <w:jc w:val="both"/>
              <w:rPr>
                <w:rFonts w:ascii="Lato" w:hAnsi="Lato" w:cs="Arial"/>
                <w:color w:val="62514E"/>
              </w:rPr>
            </w:pPr>
          </w:p>
          <w:p w14:paraId="72BFACBA" w14:textId="12871333" w:rsidR="002F0B78" w:rsidRPr="002F0B78" w:rsidRDefault="002F0B78" w:rsidP="00884CC2">
            <w:pPr>
              <w:spacing w:after="40" w:line="240" w:lineRule="auto"/>
              <w:jc w:val="both"/>
              <w:rPr>
                <w:rFonts w:ascii="Lato" w:eastAsia="Calibri" w:hAnsi="Lato" w:cs="Arial"/>
                <w:color w:val="62514E"/>
              </w:rPr>
            </w:pPr>
          </w:p>
        </w:tc>
      </w:tr>
      <w:tr w:rsidR="002F0B78" w:rsidRPr="002F0B78" w14:paraId="06BF11F5" w14:textId="77777777" w:rsidTr="00884CC2">
        <w:trPr>
          <w:jc w:val="center"/>
        </w:trPr>
        <w:tc>
          <w:tcPr>
            <w:tcW w:w="3114" w:type="dxa"/>
          </w:tcPr>
          <w:p w14:paraId="7938856E" w14:textId="77777777" w:rsidR="00C37C96" w:rsidRPr="002F0B78" w:rsidRDefault="00C37C96" w:rsidP="009A3044">
            <w:pPr>
              <w:spacing w:after="40" w:line="240" w:lineRule="auto"/>
              <w:rPr>
                <w:rFonts w:ascii="Lato" w:hAnsi="Lato" w:cs="Arial"/>
                <w:b/>
                <w:bCs/>
                <w:color w:val="62514E"/>
              </w:rPr>
            </w:pPr>
            <w:r w:rsidRPr="002F0B78">
              <w:rPr>
                <w:rFonts w:ascii="Lato" w:eastAsia="Calibri" w:hAnsi="Lato" w:cs="Arial"/>
                <w:b/>
                <w:bCs/>
                <w:color w:val="62514E"/>
              </w:rPr>
              <w:lastRenderedPageBreak/>
              <w:t>Reflection on the process</w:t>
            </w:r>
          </w:p>
        </w:tc>
        <w:tc>
          <w:tcPr>
            <w:tcW w:w="6242" w:type="dxa"/>
            <w:shd w:val="clear" w:color="auto" w:fill="auto"/>
          </w:tcPr>
          <w:p w14:paraId="0863D316" w14:textId="5B01C051" w:rsidR="00C37C96" w:rsidRDefault="00C37C96" w:rsidP="00884CC2">
            <w:pPr>
              <w:spacing w:after="40" w:line="240" w:lineRule="auto"/>
              <w:jc w:val="both"/>
              <w:rPr>
                <w:rFonts w:ascii="Lato" w:hAnsi="Lato" w:cs="Arial"/>
                <w:color w:val="62514E"/>
              </w:rPr>
            </w:pPr>
            <w:r w:rsidRPr="002F0B78">
              <w:rPr>
                <w:rFonts w:ascii="Lato" w:hAnsi="Lato" w:cs="Arial"/>
                <w:color w:val="62514E"/>
              </w:rPr>
              <w:t>Brief reflection on learning, including gaps, what did/did not work</w:t>
            </w:r>
          </w:p>
          <w:p w14:paraId="6D3BDC0F" w14:textId="77777777" w:rsidR="002F0B78" w:rsidRPr="002F0B78" w:rsidRDefault="002F0B78" w:rsidP="00884CC2">
            <w:pPr>
              <w:spacing w:after="40" w:line="240" w:lineRule="auto"/>
              <w:jc w:val="both"/>
              <w:rPr>
                <w:rFonts w:ascii="Lato" w:hAnsi="Lato" w:cs="Arial"/>
                <w:color w:val="62514E"/>
              </w:rPr>
            </w:pPr>
          </w:p>
          <w:p w14:paraId="493F5C67"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Distribution of feedback forms</w:t>
            </w:r>
          </w:p>
          <w:p w14:paraId="78A5ABDC" w14:textId="2C761639" w:rsidR="002F0B78" w:rsidRPr="002F0B78" w:rsidRDefault="002F0B78" w:rsidP="00884CC2">
            <w:pPr>
              <w:spacing w:after="40" w:line="240" w:lineRule="auto"/>
              <w:jc w:val="both"/>
              <w:rPr>
                <w:rFonts w:ascii="Lato" w:hAnsi="Lato" w:cs="Arial"/>
                <w:color w:val="62514E"/>
              </w:rPr>
            </w:pPr>
          </w:p>
        </w:tc>
      </w:tr>
      <w:tr w:rsidR="002F0B78" w:rsidRPr="002F0B78" w14:paraId="4A54E52A" w14:textId="77777777" w:rsidTr="00884CC2">
        <w:trPr>
          <w:jc w:val="center"/>
        </w:trPr>
        <w:tc>
          <w:tcPr>
            <w:tcW w:w="3114" w:type="dxa"/>
          </w:tcPr>
          <w:p w14:paraId="6B20A15E" w14:textId="77777777" w:rsidR="00C37C96" w:rsidRPr="002F0B78" w:rsidRDefault="00C37C96" w:rsidP="009A3044">
            <w:pPr>
              <w:spacing w:after="40" w:line="240" w:lineRule="auto"/>
              <w:rPr>
                <w:rFonts w:ascii="Lato" w:hAnsi="Lato" w:cs="Arial"/>
                <w:b/>
                <w:bCs/>
                <w:color w:val="62514E"/>
              </w:rPr>
            </w:pPr>
            <w:r w:rsidRPr="002F0B78">
              <w:rPr>
                <w:rFonts w:ascii="Lato" w:eastAsia="Calibri" w:hAnsi="Lato" w:cs="Arial"/>
                <w:b/>
                <w:bCs/>
                <w:color w:val="62514E"/>
              </w:rPr>
              <w:t>Next steps, thanks and close</w:t>
            </w:r>
          </w:p>
        </w:tc>
        <w:tc>
          <w:tcPr>
            <w:tcW w:w="6242" w:type="dxa"/>
            <w:shd w:val="clear" w:color="auto" w:fill="auto"/>
          </w:tcPr>
          <w:p w14:paraId="14405DC4" w14:textId="77777777" w:rsidR="00C37C96" w:rsidRDefault="00C37C96" w:rsidP="00884CC2">
            <w:pPr>
              <w:spacing w:after="40" w:line="240" w:lineRule="auto"/>
              <w:jc w:val="both"/>
              <w:rPr>
                <w:rFonts w:ascii="Lato" w:hAnsi="Lato" w:cs="Arial"/>
                <w:color w:val="62514E"/>
              </w:rPr>
            </w:pPr>
            <w:r w:rsidRPr="002F0B78">
              <w:rPr>
                <w:rFonts w:ascii="Lato" w:hAnsi="Lato" w:cs="Arial"/>
                <w:color w:val="62514E"/>
              </w:rPr>
              <w:t xml:space="preserve">Outlining of next steps, including details of any follow up </w:t>
            </w:r>
          </w:p>
          <w:p w14:paraId="05B51ABE" w14:textId="77777777" w:rsidR="002F0B78" w:rsidRDefault="002F0B78" w:rsidP="00884CC2">
            <w:pPr>
              <w:spacing w:after="40" w:line="240" w:lineRule="auto"/>
              <w:jc w:val="both"/>
              <w:rPr>
                <w:rFonts w:ascii="Lato" w:hAnsi="Lato" w:cs="Arial"/>
                <w:color w:val="62514E"/>
              </w:rPr>
            </w:pPr>
          </w:p>
          <w:p w14:paraId="5DDB8A48" w14:textId="0459D7B6" w:rsidR="002F0B78" w:rsidRPr="002F0B78" w:rsidRDefault="002F0B78" w:rsidP="00884CC2">
            <w:pPr>
              <w:spacing w:after="40" w:line="240" w:lineRule="auto"/>
              <w:jc w:val="both"/>
              <w:rPr>
                <w:rFonts w:ascii="Lato" w:hAnsi="Lato" w:cs="Arial"/>
                <w:color w:val="62514E"/>
              </w:rPr>
            </w:pPr>
          </w:p>
        </w:tc>
      </w:tr>
    </w:tbl>
    <w:p w14:paraId="31D23367" w14:textId="77777777" w:rsidR="00456587" w:rsidRPr="002F0B78" w:rsidRDefault="002F0B78">
      <w:pPr>
        <w:rPr>
          <w:color w:val="62514E"/>
        </w:rPr>
      </w:pPr>
    </w:p>
    <w:sectPr w:rsidR="00456587" w:rsidRPr="002F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4D"/>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96"/>
    <w:rsid w:val="002F0B78"/>
    <w:rsid w:val="007F3EE8"/>
    <w:rsid w:val="008C5E14"/>
    <w:rsid w:val="009A3044"/>
    <w:rsid w:val="00C3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DDF5"/>
  <w15:chartTrackingRefBased/>
  <w15:docId w15:val="{4FFA4700-C783-4CC8-ADA0-0B912E45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4</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Menzies</dc:creator>
  <cp:keywords/>
  <dc:description/>
  <cp:lastModifiedBy>Amy Menzies</cp:lastModifiedBy>
  <cp:revision>2</cp:revision>
  <dcterms:created xsi:type="dcterms:W3CDTF">2021-06-01T14:44:00Z</dcterms:created>
  <dcterms:modified xsi:type="dcterms:W3CDTF">2021-06-01T14:44:00Z</dcterms:modified>
</cp:coreProperties>
</file>